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FAA03">
      <w:pPr>
        <w:keepNext w:val="0"/>
        <w:keepLines w:val="0"/>
        <w:pageBreakBefore w:val="0"/>
        <w:widowControl w:val="0"/>
        <w:kinsoku/>
        <w:wordWrap/>
        <w:overflowPunct/>
        <w:topLinePunct w:val="0"/>
        <w:bidi w:val="0"/>
        <w:snapToGrid/>
        <w:spacing w:line="480" w:lineRule="auto"/>
        <w:textAlignment w:val="auto"/>
        <w:rPr>
          <w:rFonts w:hint="eastAsia" w:asciiTheme="minorEastAsia" w:hAnsiTheme="minorEastAsia" w:eastAsiaTheme="minorEastAsia" w:cstheme="minorEastAsia"/>
          <w:b w:val="0"/>
          <w:bCs w:val="0"/>
          <w:sz w:val="32"/>
          <w:szCs w:val="32"/>
          <w:lang w:val="en-US" w:eastAsia="zh-CN"/>
        </w:rPr>
      </w:pPr>
      <w:r>
        <w:rPr>
          <w:rFonts w:hint="eastAsia" w:asciiTheme="minorEastAsia" w:hAnsiTheme="minorEastAsia" w:eastAsiaTheme="minorEastAsia" w:cstheme="minorEastAsia"/>
          <w:b w:val="0"/>
          <w:bCs w:val="0"/>
          <w:sz w:val="32"/>
          <w:szCs w:val="32"/>
          <w:lang w:val="en-US" w:eastAsia="zh-CN"/>
        </w:rPr>
        <w:t>附件：</w:t>
      </w:r>
    </w:p>
    <w:p w14:paraId="0DD46DC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评审标准</w:t>
      </w:r>
    </w:p>
    <w:tbl>
      <w:tblPr>
        <w:tblStyle w:val="3"/>
        <w:tblW w:w="9048"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1"/>
        <w:gridCol w:w="7737"/>
      </w:tblGrid>
      <w:tr w14:paraId="61DC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311" w:type="dxa"/>
            <w:noWrap w:val="0"/>
            <w:vAlign w:val="center"/>
          </w:tcPr>
          <w:p w14:paraId="3B823D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color w:val="auto"/>
                <w:sz w:val="24"/>
                <w:szCs w:val="24"/>
                <w:vertAlign w:val="baseline"/>
                <w:lang w:val="en-US" w:eastAsia="zh-CN"/>
              </w:rPr>
            </w:pPr>
            <w:r>
              <w:rPr>
                <w:rFonts w:hint="eastAsia" w:ascii="黑体" w:hAnsi="黑体" w:eastAsia="黑体" w:cs="黑体"/>
                <w:color w:val="auto"/>
                <w:sz w:val="24"/>
                <w:szCs w:val="24"/>
                <w:lang w:val="en-US" w:eastAsia="zh-CN"/>
              </w:rPr>
              <w:t>评分项目及分值</w:t>
            </w:r>
          </w:p>
        </w:tc>
        <w:tc>
          <w:tcPr>
            <w:tcW w:w="7737" w:type="dxa"/>
            <w:noWrap w:val="0"/>
            <w:vAlign w:val="center"/>
          </w:tcPr>
          <w:p w14:paraId="7EDAE4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color w:val="auto"/>
                <w:sz w:val="24"/>
                <w:szCs w:val="24"/>
                <w:vertAlign w:val="baseline"/>
                <w:lang w:eastAsia="zh-CN"/>
              </w:rPr>
            </w:pPr>
            <w:r>
              <w:rPr>
                <w:rFonts w:hint="eastAsia" w:ascii="黑体" w:hAnsi="黑体" w:eastAsia="黑体" w:cs="黑体"/>
                <w:color w:val="auto"/>
                <w:sz w:val="24"/>
                <w:szCs w:val="24"/>
                <w:lang w:eastAsia="zh-CN"/>
              </w:rPr>
              <w:t>评分标准</w:t>
            </w:r>
          </w:p>
        </w:tc>
      </w:tr>
      <w:tr w14:paraId="74B8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11" w:type="dxa"/>
            <w:shd w:val="clear" w:color="auto" w:fill="auto"/>
            <w:noWrap w:val="0"/>
            <w:vAlign w:val="center"/>
          </w:tcPr>
          <w:p w14:paraId="5425C15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企业综合实力</w:t>
            </w:r>
          </w:p>
          <w:p w14:paraId="616FB40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（10分）</w:t>
            </w:r>
          </w:p>
        </w:tc>
        <w:tc>
          <w:tcPr>
            <w:tcW w:w="7737" w:type="dxa"/>
            <w:shd w:val="clear" w:color="auto" w:fill="auto"/>
            <w:noWrap w:val="0"/>
            <w:vAlign w:val="top"/>
          </w:tcPr>
          <w:p w14:paraId="6BCE1B4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 企业从业年限（3分）：满足基本3年从业年限得1.5分；从业年限4-6年得2分；从业年限7-9年得2.5分；从业年限10年及以上得3分（提供合同、业绩证明佐证，无佐证不计分）。</w:t>
            </w:r>
          </w:p>
          <w:p w14:paraId="362E706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 企业类似业绩（5分）：近3年内具备政府机关、事业单位、医院类基建及维修工程造价咨询业绩，每提供1份有效业绩合同得1分，满分5分。普通商业项目业绩不计分，合同需清晰体现项目名称、服务内容、签约单位、签约时间，资料不全不计分。</w:t>
            </w:r>
          </w:p>
          <w:p w14:paraId="28FE30F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3. 财务经营状况（2分）：提供近1年度完整财务审计报告，财务状况良好、无亏损、无异常负债得2分；未提供或财务状况存在异常不得分</w:t>
            </w:r>
          </w:p>
        </w:tc>
      </w:tr>
      <w:tr w14:paraId="39B8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11" w:type="dxa"/>
            <w:shd w:val="clear" w:color="auto" w:fill="auto"/>
            <w:noWrap w:val="0"/>
            <w:vAlign w:val="center"/>
          </w:tcPr>
          <w:p w14:paraId="728D84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val="en-US" w:eastAsia="zh-CN"/>
              </w:rPr>
              <w:t>项目</w:t>
            </w:r>
            <w:r>
              <w:rPr>
                <w:rFonts w:hint="default" w:ascii="Times New Roman" w:hAnsi="Times New Roman" w:eastAsia="仿宋" w:cs="Times New Roman"/>
                <w:color w:val="auto"/>
                <w:sz w:val="24"/>
                <w:szCs w:val="24"/>
                <w:highlight w:val="none"/>
                <w:lang w:eastAsia="zh-CN"/>
              </w:rPr>
              <w:t>团队配置</w:t>
            </w:r>
          </w:p>
          <w:p w14:paraId="1EFB02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kern w:val="2"/>
                <w:sz w:val="24"/>
                <w:szCs w:val="24"/>
                <w:highlight w:val="none"/>
                <w:vertAlign w:val="baseline"/>
                <w:lang w:val="en-US" w:eastAsia="zh-CN" w:bidi="ar-SA"/>
              </w:rPr>
            </w:pPr>
            <w:r>
              <w:rPr>
                <w:rFonts w:hint="eastAsia" w:ascii="Times New Roman" w:hAnsi="Times New Roman" w:eastAsia="仿宋" w:cs="Times New Roman"/>
                <w:color w:val="auto"/>
                <w:sz w:val="24"/>
                <w:szCs w:val="24"/>
                <w:highlight w:val="none"/>
                <w:lang w:eastAsia="zh-CN"/>
              </w:rPr>
              <w:t>（</w:t>
            </w:r>
            <w:r>
              <w:rPr>
                <w:rFonts w:hint="eastAsia" w:ascii="Times New Roman" w:hAnsi="Times New Roman" w:eastAsia="仿宋" w:cs="Times New Roman"/>
                <w:color w:val="auto"/>
                <w:sz w:val="24"/>
                <w:szCs w:val="24"/>
                <w:highlight w:val="none"/>
                <w:lang w:val="en-US" w:eastAsia="zh-CN"/>
              </w:rPr>
              <w:t>10分）</w:t>
            </w:r>
          </w:p>
        </w:tc>
        <w:tc>
          <w:tcPr>
            <w:tcW w:w="7737" w:type="dxa"/>
            <w:shd w:val="clear" w:color="auto" w:fill="auto"/>
            <w:noWrap w:val="0"/>
            <w:vAlign w:val="top"/>
          </w:tcPr>
          <w:p w14:paraId="4882C12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 项目负责人资质及业绩（5分）：项目负责人具备一级注册造价工程师证书、满足3年从业基础年限得2分；近3年内拥有医院、事业单位工程造价咨询项目业绩，每提供1份有效业绩得1.5分，满分5分。证书、业绩资料不全者不予计分。</w:t>
            </w:r>
          </w:p>
          <w:p w14:paraId="41A562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kern w:val="2"/>
                <w:sz w:val="24"/>
                <w:szCs w:val="24"/>
                <w:vertAlign w:val="baseline"/>
                <w:lang w:val="en-US" w:eastAsia="zh-CN" w:bidi="ar-SA"/>
              </w:rPr>
            </w:pPr>
            <w:r>
              <w:rPr>
                <w:rFonts w:hint="eastAsia" w:ascii="Times New Roman" w:hAnsi="Times New Roman" w:eastAsia="仿宋" w:cs="Times New Roman"/>
                <w:color w:val="auto"/>
                <w:sz w:val="24"/>
                <w:szCs w:val="24"/>
                <w:lang w:val="en-US" w:eastAsia="zh-CN"/>
              </w:rPr>
              <w:t>2. 专职技术团队配置（5分）：除项目负责人外，配备专职造价工程师3名及以上（均具备注册造价师证书）得5分；配备2名得3分；配备1名得1分；无专职技术团队不得分。需提供人员证书、近3个月社保缴纳证明佐证，人员挂靠、社保不符不计分。</w:t>
            </w:r>
          </w:p>
        </w:tc>
      </w:tr>
      <w:tr w14:paraId="62CE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11" w:type="dxa"/>
            <w:shd w:val="clear" w:color="auto" w:fill="auto"/>
            <w:noWrap w:val="0"/>
            <w:vAlign w:val="center"/>
          </w:tcPr>
          <w:p w14:paraId="5D48E2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本地化服务保障</w:t>
            </w:r>
          </w:p>
          <w:p w14:paraId="1D5417E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（10分）</w:t>
            </w:r>
          </w:p>
        </w:tc>
        <w:tc>
          <w:tcPr>
            <w:tcW w:w="7737" w:type="dxa"/>
            <w:shd w:val="clear" w:color="auto" w:fill="auto"/>
            <w:noWrap w:val="0"/>
            <w:vAlign w:val="top"/>
          </w:tcPr>
          <w:p w14:paraId="7EC7101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 在株洲市城区范围内拥有固定自有办公场所得10分（提供房产证、办公场地证明佐证）；</w:t>
            </w:r>
          </w:p>
          <w:p w14:paraId="77F90973">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 在株洲市城区范围内租赁固定办公场所得6分（提供有效租赁合同、租赁凭证佐证）；</w:t>
            </w:r>
          </w:p>
          <w:p w14:paraId="06B757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3. 未在本地设立固定办公场所、无本地化服务场地不得分。</w:t>
            </w:r>
          </w:p>
        </w:tc>
      </w:tr>
      <w:tr w14:paraId="07A9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11" w:type="dxa"/>
            <w:shd w:val="clear" w:color="auto" w:fill="auto"/>
            <w:noWrap w:val="0"/>
            <w:vAlign w:val="center"/>
          </w:tcPr>
          <w:p w14:paraId="07A7C1B3">
            <w:pPr>
              <w:keepNext w:val="0"/>
              <w:keepLines w:val="0"/>
              <w:widowControl/>
              <w:suppressLineNumbers w:val="0"/>
              <w:spacing w:line="240" w:lineRule="auto"/>
              <w:jc w:val="left"/>
              <w:rPr>
                <w:highlight w:val="none"/>
              </w:rPr>
            </w:pPr>
            <w:r>
              <w:rPr>
                <w:rFonts w:hint="default" w:ascii="Times New Roman" w:hAnsi="Times New Roman" w:eastAsia="仿宋" w:cs="Times New Roman"/>
                <w:color w:val="auto"/>
                <w:sz w:val="24"/>
                <w:szCs w:val="24"/>
                <w:highlight w:val="none"/>
                <w:lang w:val="en-US" w:eastAsia="zh-CN"/>
              </w:rPr>
              <w:t>服务方案及服务能力（1</w:t>
            </w:r>
            <w:r>
              <w:rPr>
                <w:rFonts w:hint="eastAsia" w:ascii="Times New Roman" w:hAnsi="Times New Roman" w:eastAsia="仿宋" w:cs="Times New Roman"/>
                <w:color w:val="auto"/>
                <w:sz w:val="24"/>
                <w:szCs w:val="24"/>
                <w:highlight w:val="none"/>
                <w:lang w:val="en-US" w:eastAsia="zh-CN"/>
              </w:rPr>
              <w:t>0</w:t>
            </w:r>
            <w:r>
              <w:rPr>
                <w:rFonts w:hint="default" w:ascii="Times New Roman" w:hAnsi="Times New Roman" w:eastAsia="仿宋" w:cs="Times New Roman"/>
                <w:color w:val="auto"/>
                <w:sz w:val="24"/>
                <w:szCs w:val="24"/>
                <w:highlight w:val="none"/>
                <w:lang w:val="en-US" w:eastAsia="zh-CN"/>
              </w:rPr>
              <w:t>分）</w:t>
            </w:r>
          </w:p>
          <w:p w14:paraId="0BB12C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kern w:val="2"/>
                <w:sz w:val="24"/>
                <w:szCs w:val="24"/>
                <w:highlight w:val="none"/>
                <w:vertAlign w:val="baseline"/>
                <w:lang w:val="en-US" w:eastAsia="zh-CN" w:bidi="ar-SA"/>
              </w:rPr>
            </w:pPr>
          </w:p>
        </w:tc>
        <w:tc>
          <w:tcPr>
            <w:tcW w:w="7737" w:type="dxa"/>
            <w:shd w:val="clear" w:color="auto" w:fill="auto"/>
            <w:noWrap w:val="0"/>
            <w:vAlign w:val="top"/>
          </w:tcPr>
          <w:p w14:paraId="7E2F504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 整体服务流程规划（4分）：针对本院基建、零星维修项目特点，制定完整、细化、贴合项目实际的全流程造价咨询服务流程，流程清晰、分工明确、贴合医院工作场景得4分；流程基本完整、通用性较强得2分；流程简陋、针对性差得1分；未提供不得分。</w:t>
            </w:r>
          </w:p>
          <w:p w14:paraId="00CF7D7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 质量管控体系（2分）：具备完善的造价审核三级复核制度、质量管控标准、差错整改机制，制度健全、可落地性强得2分；制度基本完善但细节欠缺得1分；未提供不得分。</w:t>
            </w:r>
          </w:p>
          <w:p w14:paraId="429F6C9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3.应急及响应服务机制（2分）：具备项目加急处理、现场突发问题对接、造价争议协调、超时履约补救等应急处理方案，响应高效、机制健全得2分；方案简单得1分；未提供不得分。</w:t>
            </w:r>
          </w:p>
          <w:p w14:paraId="7C7B9E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4.售后及对接服务（2分）：设立专属对接人员、常态化沟通机制、后续审计配合、售后答疑服务体系，服务保障全面得2分；基本满足服务要求得1分；未提供不得分。</w:t>
            </w:r>
          </w:p>
        </w:tc>
      </w:tr>
      <w:tr w14:paraId="55B5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11" w:type="dxa"/>
            <w:shd w:val="clear" w:color="auto" w:fill="auto"/>
            <w:noWrap w:val="0"/>
            <w:vAlign w:val="center"/>
          </w:tcPr>
          <w:p w14:paraId="577590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价格部分</w:t>
            </w:r>
            <w:r>
              <w:rPr>
                <w:rFonts w:hint="default" w:ascii="Times New Roman" w:hAnsi="Times New Roman" w:eastAsia="仿宋" w:cs="Times New Roman"/>
                <w:color w:val="auto"/>
                <w:sz w:val="24"/>
                <w:szCs w:val="24"/>
                <w:lang w:eastAsia="zh-CN"/>
              </w:rPr>
              <w:t>收费标准</w:t>
            </w:r>
          </w:p>
          <w:p w14:paraId="03AB7B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kern w:val="2"/>
                <w:sz w:val="24"/>
                <w:szCs w:val="24"/>
                <w:vertAlign w:val="baseline"/>
                <w:lang w:val="en-US" w:eastAsia="zh-CN" w:bidi="ar-SA"/>
              </w:rPr>
            </w:pPr>
            <w:r>
              <w:rPr>
                <w:rFonts w:hint="eastAsia" w:ascii="Times New Roman" w:hAnsi="Times New Roman" w:eastAsia="仿宋" w:cs="Times New Roman"/>
                <w:color w:val="auto"/>
                <w:sz w:val="24"/>
                <w:szCs w:val="24"/>
                <w:lang w:val="en-US" w:eastAsia="zh-CN"/>
              </w:rPr>
              <w:t>60分</w:t>
            </w:r>
          </w:p>
        </w:tc>
        <w:tc>
          <w:tcPr>
            <w:tcW w:w="7737" w:type="dxa"/>
            <w:shd w:val="clear" w:color="auto" w:fill="auto"/>
            <w:noWrap w:val="0"/>
            <w:vAlign w:val="top"/>
          </w:tcPr>
          <w:p w14:paraId="049112A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符合</w:t>
            </w:r>
            <w:r>
              <w:rPr>
                <w:rFonts w:hint="eastAsia" w:ascii="Times New Roman" w:hAnsi="Times New Roman" w:eastAsia="仿宋" w:cs="Times New Roman"/>
                <w:color w:val="auto"/>
                <w:sz w:val="24"/>
                <w:szCs w:val="24"/>
                <w:lang w:val="en-US" w:eastAsia="zh-CN"/>
              </w:rPr>
              <w:t>《湖南省建设工程造价咨询服务收费管理办法》（湘价服〔2009〕81号）》</w:t>
            </w:r>
            <w:r>
              <w:rPr>
                <w:rFonts w:hint="default" w:ascii="Times New Roman" w:hAnsi="Times New Roman" w:eastAsia="仿宋" w:cs="Times New Roman"/>
                <w:color w:val="auto"/>
                <w:sz w:val="24"/>
                <w:szCs w:val="24"/>
                <w:lang w:val="en-US" w:eastAsia="zh-CN"/>
              </w:rPr>
              <w:t>规定，</w:t>
            </w:r>
            <w:r>
              <w:rPr>
                <w:rFonts w:hint="eastAsia" w:ascii="Times New Roman" w:hAnsi="Times New Roman" w:eastAsia="仿宋" w:cs="Times New Roman"/>
                <w:color w:val="auto"/>
                <w:sz w:val="24"/>
                <w:szCs w:val="24"/>
                <w:lang w:val="en-US" w:eastAsia="zh-CN"/>
              </w:rPr>
              <w:t>按《关于市本级政府投资项目工程建设其他费用预算支出控制标准的通知》（株财发〔2023〕2号）的规定，设定本次招标折扣率不高于50%</w:t>
            </w:r>
            <w:r>
              <w:rPr>
                <w:rFonts w:hint="default" w:ascii="Times New Roman" w:hAnsi="Times New Roman" w:eastAsia="仿宋" w:cs="Times New Roman"/>
                <w:color w:val="auto"/>
                <w:sz w:val="24"/>
                <w:szCs w:val="24"/>
                <w:lang w:val="en-US" w:eastAsia="zh-CN"/>
              </w:rPr>
              <w:t>。</w:t>
            </w:r>
          </w:p>
          <w:p w14:paraId="2BED65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投标人以折扣率上限为基数，填报</w:t>
            </w:r>
            <w:r>
              <w:rPr>
                <w:rFonts w:hint="eastAsia" w:ascii="Times New Roman" w:hAnsi="Times New Roman" w:eastAsia="仿宋" w:cs="Times New Roman"/>
                <w:color w:val="auto"/>
                <w:sz w:val="24"/>
                <w:szCs w:val="24"/>
                <w:lang w:val="en-US" w:eastAsia="zh-CN"/>
              </w:rPr>
              <w:t>一个让利折扣系数</w:t>
            </w:r>
            <w:r>
              <w:rPr>
                <w:rFonts w:hint="default" w:ascii="Times New Roman" w:hAnsi="Times New Roman" w:eastAsia="仿宋" w:cs="Times New Roman"/>
                <w:color w:val="auto"/>
                <w:sz w:val="24"/>
                <w:szCs w:val="24"/>
                <w:lang w:val="en-US" w:eastAsia="zh-CN"/>
              </w:rPr>
              <w:t>（即对上限折扣率的再次让利比例系数</w:t>
            </w:r>
            <w:r>
              <w:rPr>
                <w:rFonts w:hint="eastAsia" w:ascii="Times New Roman" w:hAnsi="Times New Roman" w:eastAsia="仿宋" w:cs="Times New Roman"/>
                <w:color w:val="auto"/>
                <w:sz w:val="24"/>
                <w:szCs w:val="24"/>
                <w:lang w:val="en-US" w:eastAsia="zh-CN"/>
              </w:rPr>
              <w:t>，取值范围：0＜让利折扣系数≤1</w:t>
            </w:r>
            <w:r>
              <w:rPr>
                <w:rFonts w:hint="default" w:ascii="Times New Roman" w:hAnsi="Times New Roman" w:eastAsia="仿宋" w:cs="Times New Roman"/>
                <w:color w:val="auto"/>
                <w:sz w:val="24"/>
                <w:szCs w:val="24"/>
                <w:lang w:val="en-US" w:eastAsia="zh-CN"/>
              </w:rPr>
              <w:t>）。最终执行折扣率及代理服务费计算公式如下：</w:t>
            </w:r>
          </w:p>
          <w:p w14:paraId="3E9C9F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服务费用的计算=基准价格（按湘价服〔2009〕81号文计算）*最终执行折扣率</w:t>
            </w:r>
          </w:p>
          <w:p w14:paraId="4E8C3AF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评分规则：</w:t>
            </w:r>
            <w:r>
              <w:rPr>
                <w:rFonts w:hint="default" w:ascii="Times New Roman" w:hAnsi="Times New Roman" w:eastAsia="仿宋" w:cs="Times New Roman"/>
                <w:color w:val="auto"/>
                <w:sz w:val="24"/>
                <w:szCs w:val="24"/>
                <w:lang w:val="en-US" w:eastAsia="zh-CN"/>
              </w:rPr>
              <w:t>以所有有效投标中最低的让利折扣系数作为满分基准值，对应投标人得</w:t>
            </w:r>
            <w:r>
              <w:rPr>
                <w:rFonts w:hint="eastAsia" w:ascii="Times New Roman" w:hAnsi="Times New Roman" w:eastAsia="仿宋" w:cs="Times New Roman"/>
                <w:color w:val="auto"/>
                <w:sz w:val="24"/>
                <w:szCs w:val="24"/>
                <w:lang w:val="en-US" w:eastAsia="zh-CN"/>
              </w:rPr>
              <w:t>6</w:t>
            </w:r>
            <w:r>
              <w:rPr>
                <w:rFonts w:hint="default" w:ascii="Times New Roman" w:hAnsi="Times New Roman" w:eastAsia="仿宋" w:cs="Times New Roman"/>
                <w:color w:val="auto"/>
                <w:sz w:val="24"/>
                <w:szCs w:val="24"/>
                <w:lang w:val="en-US" w:eastAsia="zh-CN"/>
              </w:rPr>
              <w:t>0分；</w:t>
            </w:r>
          </w:p>
          <w:p w14:paraId="744A7F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 xml:space="preserve">投标人实得分 = </w:t>
            </w:r>
            <w:r>
              <w:rPr>
                <w:rFonts w:hint="eastAsia" w:ascii="Times New Roman" w:hAnsi="Times New Roman" w:eastAsia="仿宋" w:cs="Times New Roman"/>
                <w:color w:val="auto"/>
                <w:sz w:val="24"/>
                <w:szCs w:val="24"/>
                <w:lang w:val="en-US" w:eastAsia="zh-CN"/>
              </w:rPr>
              <w:t>6</w:t>
            </w:r>
            <w:r>
              <w:rPr>
                <w:rFonts w:hint="default" w:ascii="Times New Roman" w:hAnsi="Times New Roman" w:eastAsia="仿宋" w:cs="Times New Roman"/>
                <w:color w:val="auto"/>
                <w:sz w:val="24"/>
                <w:szCs w:val="24"/>
                <w:lang w:val="en-US" w:eastAsia="zh-CN"/>
              </w:rPr>
              <w:t>0 ×（满分基准值 ÷ 投标人填报让利折扣系数）</w:t>
            </w:r>
            <w:r>
              <w:rPr>
                <w:rFonts w:hint="default" w:ascii="Times New Roman" w:hAnsi="Times New Roman" w:eastAsia="仿宋" w:cs="Times New Roman"/>
                <w:color w:val="auto"/>
                <w:sz w:val="24"/>
                <w:szCs w:val="24"/>
                <w:lang w:val="en-US" w:eastAsia="zh-CN"/>
              </w:rPr>
              <w:br w:type="textWrapping"/>
            </w:r>
            <w:r>
              <w:rPr>
                <w:rFonts w:hint="eastAsia" w:ascii="Times New Roman" w:hAnsi="Times New Roman" w:eastAsia="仿宋" w:cs="Times New Roman"/>
                <w:color w:val="auto"/>
                <w:sz w:val="24"/>
                <w:szCs w:val="24"/>
                <w:lang w:val="en-US" w:eastAsia="zh-CN"/>
              </w:rPr>
              <w:t>说明：如</w:t>
            </w:r>
            <w:r>
              <w:rPr>
                <w:rFonts w:hint="default" w:ascii="Times New Roman" w:hAnsi="Times New Roman" w:eastAsia="仿宋" w:cs="Times New Roman"/>
                <w:color w:val="auto"/>
                <w:sz w:val="24"/>
                <w:szCs w:val="24"/>
                <w:lang w:val="en-US" w:eastAsia="zh-CN"/>
              </w:rPr>
              <w:t>让利折扣系数</w:t>
            </w:r>
            <w:r>
              <w:rPr>
                <w:rFonts w:hint="eastAsia" w:ascii="Times New Roman" w:hAnsi="Times New Roman" w:eastAsia="仿宋" w:cs="Times New Roman"/>
                <w:color w:val="auto"/>
                <w:sz w:val="24"/>
                <w:szCs w:val="24"/>
                <w:lang w:val="en-US" w:eastAsia="zh-CN"/>
              </w:rPr>
              <w:t>为0.6，则最终执行扣率为50%×0.6=30%；让利折扣系数 = 1时，无额外让利，最终执行折扣率等同于对应类别折扣率上限。</w:t>
            </w:r>
          </w:p>
          <w:p w14:paraId="6D5838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注：</w:t>
            </w:r>
            <w:r>
              <w:rPr>
                <w:rFonts w:hint="eastAsia" w:ascii="Times New Roman" w:hAnsi="Times New Roman" w:eastAsia="仿宋" w:cs="Times New Roman"/>
                <w:color w:val="auto"/>
                <w:sz w:val="24"/>
                <w:szCs w:val="24"/>
                <w:lang w:val="en-US" w:eastAsia="zh-CN"/>
              </w:rPr>
              <w:t>（1）</w:t>
            </w:r>
            <w:r>
              <w:rPr>
                <w:rFonts w:hint="default" w:ascii="Times New Roman" w:hAnsi="Times New Roman" w:eastAsia="仿宋" w:cs="Times New Roman"/>
                <w:color w:val="auto"/>
                <w:sz w:val="24"/>
                <w:szCs w:val="24"/>
                <w:lang w:val="en-US" w:eastAsia="zh-CN"/>
              </w:rPr>
              <w:t>需提供</w:t>
            </w:r>
            <w:r>
              <w:rPr>
                <w:rFonts w:hint="eastAsia" w:ascii="Times New Roman" w:hAnsi="Times New Roman" w:eastAsia="仿宋" w:cs="Times New Roman"/>
                <w:color w:val="auto"/>
                <w:sz w:val="24"/>
                <w:szCs w:val="24"/>
                <w:lang w:val="en-US" w:eastAsia="zh-CN"/>
              </w:rPr>
              <w:t>计算说明和书面</w:t>
            </w:r>
            <w:r>
              <w:rPr>
                <w:rFonts w:hint="default" w:ascii="Times New Roman" w:hAnsi="Times New Roman" w:eastAsia="仿宋" w:cs="Times New Roman"/>
                <w:color w:val="auto"/>
                <w:sz w:val="24"/>
                <w:szCs w:val="24"/>
                <w:lang w:val="en-US" w:eastAsia="zh-CN"/>
              </w:rPr>
              <w:t>承诺。</w:t>
            </w:r>
            <w:r>
              <w:rPr>
                <w:rFonts w:hint="eastAsia" w:ascii="Times New Roman" w:hAnsi="Times New Roman" w:eastAsia="仿宋" w:cs="Times New Roman"/>
                <w:color w:val="auto"/>
                <w:sz w:val="24"/>
                <w:szCs w:val="24"/>
                <w:lang w:val="en-US" w:eastAsia="zh-CN"/>
              </w:rPr>
              <w:t>（2）</w:t>
            </w:r>
            <w:r>
              <w:rPr>
                <w:rFonts w:hint="default" w:ascii="Times New Roman" w:hAnsi="Times New Roman" w:eastAsia="仿宋" w:cs="Times New Roman"/>
                <w:color w:val="auto"/>
                <w:sz w:val="24"/>
                <w:szCs w:val="24"/>
                <w:lang w:val="en-US" w:eastAsia="zh-CN"/>
              </w:rPr>
              <w:t>评审小组认为</w:t>
            </w:r>
            <w:r>
              <w:rPr>
                <w:rFonts w:hint="eastAsia" w:ascii="Times New Roman" w:hAnsi="Times New Roman" w:eastAsia="仿宋" w:cs="Times New Roman"/>
                <w:color w:val="auto"/>
                <w:sz w:val="24"/>
                <w:szCs w:val="24"/>
                <w:lang w:val="en-US" w:eastAsia="zh-CN"/>
              </w:rPr>
              <w:t>供应商</w:t>
            </w:r>
            <w:r>
              <w:rPr>
                <w:rFonts w:hint="default" w:ascii="Times New Roman" w:hAnsi="Times New Roman" w:eastAsia="仿宋" w:cs="Times New Roman"/>
                <w:color w:val="auto"/>
                <w:sz w:val="24"/>
                <w:szCs w:val="24"/>
                <w:lang w:val="en-US" w:eastAsia="zh-CN"/>
              </w:rPr>
              <w:t>的报价明显低于其他通过符合性审查供应商的报价，有可能影响诚信履约的应当要求其在合理的时间内提供书面说明，必要时提交相关证明材料；供应商不能证明其报价合理性的，评审小组应当将其作为无效响应处理。</w:t>
            </w:r>
          </w:p>
        </w:tc>
      </w:tr>
    </w:tbl>
    <w:p w14:paraId="2A414BD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0000FF"/>
          <w:sz w:val="24"/>
          <w:szCs w:val="24"/>
          <w:lang w:eastAsia="zh-CN"/>
        </w:rPr>
      </w:pPr>
      <w:r>
        <w:rPr>
          <w:rFonts w:hint="eastAsia" w:ascii="仿宋" w:hAnsi="仿宋" w:eastAsia="仿宋" w:cs="仿宋"/>
          <w:color w:val="000000" w:themeColor="text1"/>
          <w:sz w:val="24"/>
          <w:szCs w:val="24"/>
          <w:lang w:val="en-US" w:eastAsia="zh-CN"/>
          <w14:textFill>
            <w14:solidFill>
              <w14:schemeClr w14:val="tx1"/>
            </w14:solidFill>
          </w14:textFill>
        </w:rPr>
        <w:t>备注：</w:t>
      </w:r>
      <w:r>
        <w:rPr>
          <w:rFonts w:hint="eastAsia" w:ascii="仿宋" w:hAnsi="仿宋" w:eastAsia="仿宋" w:cs="仿宋"/>
          <w:color w:val="000000" w:themeColor="text1"/>
          <w:sz w:val="24"/>
          <w:szCs w:val="24"/>
          <w:lang w:eastAsia="zh-CN"/>
          <w14:textFill>
            <w14:solidFill>
              <w14:schemeClr w14:val="tx1"/>
            </w14:solidFill>
          </w14:textFill>
        </w:rPr>
        <w:t xml:space="preserve">评审小组按上述评分标准逐项打分，各项得分之和为机构最终得分（保留小数点后两位）。 </w:t>
      </w:r>
      <w:r>
        <w:rPr>
          <w:rFonts w:hint="eastAsia" w:ascii="仿宋" w:hAnsi="仿宋" w:eastAsia="仿宋" w:cs="仿宋"/>
          <w:color w:val="0000FF"/>
          <w:sz w:val="24"/>
          <w:szCs w:val="24"/>
          <w:lang w:eastAsia="zh-CN"/>
        </w:rPr>
        <w:t xml:space="preserve"> </w:t>
      </w:r>
    </w:p>
    <w:p w14:paraId="19756FE2">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9F14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2026-10-19T09:28:34Z</dcterms:created>
  <dc:creator>Administrator</dc:creator>
  <cp:lastModifiedBy>晨 小晨</cp:lastModifiedBy>
  <dcterms:modified xsi:type="dcterms:W3CDTF">2026-10-19T09:28:39Z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eyJoZGlkIjoiODEwNDQyNTdhMDY0ODcwOGNjZWEzNWY3M2U1N2NiZWQiLCJ1c2VySWQiOiI4NTMzODk3NzgifQ==</vt:lpwstr>
  </property>
  <property fmtid="{D5CDD505-2E9C-101B-9397-08002B2CF9AE}" pid="4" name="ICV">
    <vt:lpwstr>19B28947DCC34BEAB44D18BF79577D16_12</vt:lpwstr>
  </property>
</Properties>
</file>