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FAA03">
      <w:pPr>
        <w:keepNext w:val="0"/>
        <w:keepLines w:val="0"/>
        <w:pageBreakBefore w:val="0"/>
        <w:widowControl w:val="0"/>
        <w:kinsoku/>
        <w:wordWrap/>
        <w:overflowPunct/>
        <w:topLinePunct w:val="0"/>
        <w:bidi w:val="0"/>
        <w:snapToGrid/>
        <w:spacing w:line="480" w:lineRule="auto"/>
        <w:textAlignment w:val="auto"/>
        <w:rPr>
          <w:rFonts w:hint="eastAsia" w:asciiTheme="minorEastAsia" w:hAnsiTheme="minorEastAsia" w:eastAsiaTheme="minorEastAsia" w:cstheme="minorEastAsia"/>
          <w:b w:val="0"/>
          <w:bCs w:val="0"/>
          <w:sz w:val="32"/>
          <w:szCs w:val="32"/>
          <w:lang w:val="en-US" w:eastAsia="zh-CN"/>
        </w:rPr>
      </w:pPr>
      <w:r>
        <w:rPr>
          <w:rFonts w:hint="eastAsia" w:asciiTheme="minorEastAsia" w:hAnsiTheme="minorEastAsia" w:eastAsiaTheme="minorEastAsia" w:cstheme="minorEastAsia"/>
          <w:b w:val="0"/>
          <w:bCs w:val="0"/>
          <w:sz w:val="32"/>
          <w:szCs w:val="32"/>
          <w:lang w:val="en-US" w:eastAsia="zh-CN"/>
        </w:rPr>
        <w:t>附件：</w:t>
      </w:r>
    </w:p>
    <w:p w14:paraId="0DD46DC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评审标准</w:t>
      </w:r>
    </w:p>
    <w:tbl>
      <w:tblPr>
        <w:tblStyle w:val="3"/>
        <w:tblW w:w="9048"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6837"/>
      </w:tblGrid>
      <w:tr w14:paraId="61DC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211" w:type="dxa"/>
            <w:noWrap w:val="0"/>
            <w:vAlign w:val="center"/>
          </w:tcPr>
          <w:p w14:paraId="3B823D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color w:val="auto"/>
                <w:sz w:val="24"/>
                <w:szCs w:val="24"/>
                <w:vertAlign w:val="baseline"/>
                <w:lang w:val="en-US" w:eastAsia="zh-CN"/>
              </w:rPr>
            </w:pPr>
            <w:r>
              <w:rPr>
                <w:rFonts w:hint="eastAsia" w:ascii="黑体" w:hAnsi="黑体" w:eastAsia="黑体" w:cs="黑体"/>
                <w:color w:val="auto"/>
                <w:sz w:val="24"/>
                <w:szCs w:val="24"/>
                <w:lang w:val="en-US" w:eastAsia="zh-CN"/>
              </w:rPr>
              <w:t>评分项目及分值</w:t>
            </w:r>
          </w:p>
        </w:tc>
        <w:tc>
          <w:tcPr>
            <w:tcW w:w="6837" w:type="dxa"/>
            <w:noWrap w:val="0"/>
            <w:vAlign w:val="center"/>
          </w:tcPr>
          <w:p w14:paraId="7EDAE4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color w:val="auto"/>
                <w:sz w:val="24"/>
                <w:szCs w:val="24"/>
                <w:vertAlign w:val="baseline"/>
                <w:lang w:eastAsia="zh-CN"/>
              </w:rPr>
            </w:pPr>
            <w:r>
              <w:rPr>
                <w:rFonts w:hint="eastAsia" w:ascii="黑体" w:hAnsi="黑体" w:eastAsia="黑体" w:cs="黑体"/>
                <w:color w:val="auto"/>
                <w:sz w:val="24"/>
                <w:szCs w:val="24"/>
                <w:lang w:eastAsia="zh-CN"/>
              </w:rPr>
              <w:t>评分标准</w:t>
            </w:r>
          </w:p>
        </w:tc>
      </w:tr>
      <w:tr w14:paraId="74B8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11" w:type="dxa"/>
            <w:shd w:val="clear" w:color="auto" w:fill="auto"/>
            <w:noWrap w:val="0"/>
            <w:vAlign w:val="center"/>
          </w:tcPr>
          <w:p w14:paraId="338C4A1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同类项目业绩</w:t>
            </w:r>
          </w:p>
          <w:p w14:paraId="616FB4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（6分）</w:t>
            </w:r>
          </w:p>
        </w:tc>
        <w:tc>
          <w:tcPr>
            <w:tcW w:w="6837" w:type="dxa"/>
            <w:shd w:val="clear" w:color="auto" w:fill="auto"/>
            <w:noWrap w:val="0"/>
            <w:vAlign w:val="top"/>
          </w:tcPr>
          <w:p w14:paraId="28FE30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提供近2年内（</w:t>
            </w:r>
            <w:r>
              <w:rPr>
                <w:rFonts w:hint="default" w:ascii="Times New Roman" w:hAnsi="Times New Roman" w:eastAsia="仿宋" w:cs="Times New Roman"/>
                <w:color w:val="auto"/>
                <w:sz w:val="24"/>
                <w:szCs w:val="24"/>
                <w:lang w:val="en-US" w:eastAsia="zh-CN"/>
              </w:rPr>
              <w:t>投标截止时间前</w:t>
            </w:r>
            <w:r>
              <w:rPr>
                <w:rFonts w:hint="eastAsia" w:ascii="Times New Roman" w:hAnsi="Times New Roman" w:eastAsia="仿宋" w:cs="Times New Roman"/>
                <w:color w:val="auto"/>
                <w:sz w:val="24"/>
                <w:szCs w:val="24"/>
                <w:lang w:val="en-US" w:eastAsia="zh-CN"/>
              </w:rPr>
              <w:t>24</w:t>
            </w:r>
            <w:r>
              <w:rPr>
                <w:rFonts w:hint="default" w:ascii="Times New Roman" w:hAnsi="Times New Roman" w:eastAsia="仿宋" w:cs="Times New Roman"/>
                <w:color w:val="auto"/>
                <w:sz w:val="24"/>
                <w:szCs w:val="24"/>
                <w:lang w:val="en-US" w:eastAsia="zh-CN"/>
              </w:rPr>
              <w:t>个月，以合同签订时间为准</w:t>
            </w:r>
            <w:r>
              <w:rPr>
                <w:rFonts w:hint="eastAsia" w:ascii="Times New Roman" w:hAnsi="Times New Roman" w:eastAsia="仿宋" w:cs="Times New Roman"/>
                <w:color w:val="auto"/>
                <w:sz w:val="24"/>
                <w:szCs w:val="24"/>
                <w:lang w:val="en-US" w:eastAsia="zh-CN"/>
              </w:rPr>
              <w:t>）签订的类似平台服务合同。每提供1个三级医院得3分，</w:t>
            </w:r>
          </w:p>
        </w:tc>
      </w:tr>
      <w:tr w14:paraId="39B8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211" w:type="dxa"/>
            <w:shd w:val="clear" w:color="auto" w:fill="auto"/>
            <w:noWrap w:val="0"/>
            <w:vAlign w:val="center"/>
          </w:tcPr>
          <w:p w14:paraId="780238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标准化服务能力</w:t>
            </w:r>
          </w:p>
          <w:p w14:paraId="1EFB02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（4分）</w:t>
            </w:r>
          </w:p>
        </w:tc>
        <w:tc>
          <w:tcPr>
            <w:tcW w:w="6837" w:type="dxa"/>
            <w:shd w:val="clear" w:color="auto" w:fill="auto"/>
            <w:noWrap w:val="0"/>
            <w:vAlign w:val="top"/>
          </w:tcPr>
          <w:p w14:paraId="41A562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为提供更好的服务，投标人需承诺中标后根据采购人的需求在项目所在地设置常驻机构，需配备售后服务人员不低于1人的计4分（需提供承诺函，格式自拟）外省项目需注意本条</w:t>
            </w:r>
          </w:p>
        </w:tc>
      </w:tr>
      <w:tr w14:paraId="62CE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211" w:type="dxa"/>
            <w:shd w:val="clear" w:color="auto" w:fill="auto"/>
            <w:noWrap w:val="0"/>
            <w:vAlign w:val="center"/>
          </w:tcPr>
          <w:p w14:paraId="74FC51C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平台功能响应度</w:t>
            </w:r>
          </w:p>
          <w:p w14:paraId="1D5417E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（20分）</w:t>
            </w:r>
          </w:p>
        </w:tc>
        <w:tc>
          <w:tcPr>
            <w:tcW w:w="6837" w:type="dxa"/>
            <w:shd w:val="clear" w:color="auto" w:fill="auto"/>
            <w:noWrap w:val="0"/>
            <w:vAlign w:val="top"/>
          </w:tcPr>
          <w:p w14:paraId="06B757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完全满足所有功能要求得20分，标★内容必须提供截图，每缺少一项功能证明扣2分，扣完为止。</w:t>
            </w:r>
          </w:p>
        </w:tc>
      </w:tr>
      <w:tr w14:paraId="07A9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211" w:type="dxa"/>
            <w:shd w:val="clear" w:color="auto" w:fill="auto"/>
            <w:noWrap w:val="0"/>
            <w:vAlign w:val="center"/>
          </w:tcPr>
          <w:p w14:paraId="31A9A6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培训方案</w:t>
            </w:r>
          </w:p>
          <w:p w14:paraId="0BB12C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(5分）</w:t>
            </w:r>
          </w:p>
        </w:tc>
        <w:tc>
          <w:tcPr>
            <w:tcW w:w="6837" w:type="dxa"/>
            <w:shd w:val="clear" w:color="auto" w:fill="auto"/>
            <w:noWrap w:val="0"/>
            <w:vAlign w:val="center"/>
          </w:tcPr>
          <w:p w14:paraId="751815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与国内知名高等院校有互联网+护理培训课程及协议得1分；</w:t>
            </w:r>
          </w:p>
          <w:p w14:paraId="4C50757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根据应选人针对本项目提供的培训方案，培训内容包括：①提供平台操作培训、②提供护士技能操作培训和考核机制、③常见问题处理方法、④标准化服务流程（含应急预案）、培训后的人员应能熟练操作平台。每有一项内容完整、科学、详细、合理的计1分，最高计4分；有缺漏项每项扣1分，欠完整、欠科学、欠详细、欠合理的，每项扣0.5分，扣完为止。未提供的不计分。</w:t>
            </w:r>
          </w:p>
        </w:tc>
      </w:tr>
      <w:tr w14:paraId="711A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211" w:type="dxa"/>
            <w:shd w:val="clear" w:color="auto" w:fill="auto"/>
            <w:noWrap w:val="0"/>
            <w:vAlign w:val="center"/>
          </w:tcPr>
          <w:p w14:paraId="051160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运营支持方案</w:t>
            </w:r>
          </w:p>
          <w:p w14:paraId="6E1D2F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（5分）</w:t>
            </w:r>
          </w:p>
        </w:tc>
        <w:tc>
          <w:tcPr>
            <w:tcW w:w="6837" w:type="dxa"/>
            <w:shd w:val="clear" w:color="auto" w:fill="auto"/>
            <w:noWrap w:val="0"/>
            <w:vAlign w:val="center"/>
          </w:tcPr>
          <w:p w14:paraId="61C495E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根据应选人针对本项目制定的项目实施服务方案（包括但不限于：①项目背景分析、②医院需求分析、③具体运营支持点、④宣传推广计划、⑤平台运行维护方案、⑥数据分析报告）进行评审，每有一项内容完整、科学、详细、合理的计1分，最高计5分；有缺漏项每项扣1分，欠完整、欠科学、欠详细、欠合理的，每项扣0.5分，扣完为止。未提供的不计分。</w:t>
            </w:r>
          </w:p>
        </w:tc>
      </w:tr>
      <w:tr w14:paraId="55B5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211" w:type="dxa"/>
            <w:shd w:val="clear" w:color="auto" w:fill="auto"/>
            <w:noWrap w:val="0"/>
            <w:vAlign w:val="center"/>
          </w:tcPr>
          <w:p w14:paraId="577590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响应报价</w:t>
            </w:r>
          </w:p>
          <w:p w14:paraId="03AB7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kern w:val="2"/>
                <w:sz w:val="24"/>
                <w:szCs w:val="24"/>
                <w:vertAlign w:val="baseline"/>
                <w:lang w:val="en-US" w:eastAsia="zh-CN" w:bidi="ar-SA"/>
              </w:rPr>
            </w:pPr>
            <w:r>
              <w:rPr>
                <w:rFonts w:hint="eastAsia" w:ascii="Times New Roman" w:hAnsi="Times New Roman" w:eastAsia="仿宋" w:cs="Times New Roman"/>
                <w:color w:val="auto"/>
                <w:sz w:val="24"/>
                <w:szCs w:val="24"/>
                <w:lang w:val="en-US" w:eastAsia="zh-CN"/>
              </w:rPr>
              <w:t>（60分）</w:t>
            </w:r>
          </w:p>
        </w:tc>
        <w:tc>
          <w:tcPr>
            <w:tcW w:w="6837" w:type="dxa"/>
            <w:shd w:val="clear" w:color="auto" w:fill="auto"/>
            <w:noWrap w:val="0"/>
            <w:vAlign w:val="top"/>
          </w:tcPr>
          <w:p w14:paraId="3CC2723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响应报价＝（评审基准价／响应报价）×</w:t>
            </w:r>
            <w:r>
              <w:rPr>
                <w:rFonts w:hint="default" w:ascii="Times New Roman" w:hAnsi="Times New Roman" w:eastAsia="仿宋" w:cs="Times New Roman"/>
                <w:color w:val="auto"/>
                <w:sz w:val="24"/>
                <w:szCs w:val="24"/>
                <w:lang w:val="en-US" w:eastAsia="zh-CN"/>
              </w:rPr>
              <w:t>60</w:t>
            </w:r>
            <w:r>
              <w:rPr>
                <w:rFonts w:hint="default" w:ascii="Times New Roman" w:hAnsi="Times New Roman" w:eastAsia="仿宋" w:cs="Times New Roman"/>
                <w:color w:val="auto"/>
                <w:sz w:val="24"/>
                <w:szCs w:val="24"/>
                <w:lang w:val="zh-CN" w:eastAsia="zh-CN"/>
              </w:rPr>
              <w:t>；满足</w:t>
            </w:r>
            <w:r>
              <w:rPr>
                <w:rFonts w:hint="eastAsia" w:ascii="Times New Roman" w:hAnsi="Times New Roman" w:eastAsia="仿宋" w:cs="Times New Roman"/>
                <w:color w:val="auto"/>
                <w:sz w:val="24"/>
                <w:szCs w:val="24"/>
                <w:lang w:val="en-US" w:eastAsia="zh-CN"/>
              </w:rPr>
              <w:t>遴选</w:t>
            </w:r>
            <w:r>
              <w:rPr>
                <w:rFonts w:hint="default" w:ascii="Times New Roman" w:hAnsi="Times New Roman" w:eastAsia="仿宋" w:cs="Times New Roman"/>
                <w:color w:val="auto"/>
                <w:sz w:val="24"/>
                <w:szCs w:val="24"/>
                <w:lang w:val="zh-CN" w:eastAsia="zh-CN"/>
              </w:rPr>
              <w:t>文件要求且响应价格最低的响应总报价为</w:t>
            </w:r>
            <w:r>
              <w:rPr>
                <w:rFonts w:hint="eastAsia" w:ascii="Times New Roman" w:hAnsi="Times New Roman" w:eastAsia="仿宋" w:cs="Times New Roman"/>
                <w:color w:val="auto"/>
                <w:sz w:val="24"/>
                <w:szCs w:val="24"/>
                <w:lang w:val="en-US" w:eastAsia="zh-CN"/>
              </w:rPr>
              <w:t>评审</w:t>
            </w:r>
            <w:r>
              <w:rPr>
                <w:rFonts w:hint="default" w:ascii="Times New Roman" w:hAnsi="Times New Roman" w:eastAsia="仿宋" w:cs="Times New Roman"/>
                <w:color w:val="auto"/>
                <w:sz w:val="24"/>
                <w:szCs w:val="24"/>
                <w:lang w:val="zh-CN" w:eastAsia="zh-CN"/>
              </w:rPr>
              <w:t>基准价。注：</w:t>
            </w:r>
          </w:p>
          <w:p w14:paraId="668CA2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eastAsia" w:ascii="Times New Roman" w:hAnsi="Times New Roman" w:eastAsia="仿宋" w:cs="Times New Roman"/>
                <w:color w:val="auto"/>
                <w:sz w:val="24"/>
                <w:szCs w:val="24"/>
                <w:lang w:val="en-US" w:eastAsia="zh-CN"/>
              </w:rPr>
              <w:t>一、</w:t>
            </w:r>
            <w:r>
              <w:rPr>
                <w:rFonts w:hint="default" w:ascii="Times New Roman" w:hAnsi="Times New Roman" w:eastAsia="仿宋" w:cs="Times New Roman"/>
                <w:color w:val="auto"/>
                <w:sz w:val="24"/>
                <w:szCs w:val="24"/>
                <w:lang w:val="zh-CN" w:eastAsia="zh-CN"/>
              </w:rPr>
              <w:t>出现下列情形之一的，评标委员会应当启动异常低价投标（响应）审查程序：</w:t>
            </w:r>
          </w:p>
          <w:p w14:paraId="1ACD7A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1.投标（响应）报价低于全部通过符合性审查供应商投标（响应）报价平均值的50%，即投标（响应）报价&lt;全部通过符合性审查供应商投标(响应）报价平均值×50%；</w:t>
            </w:r>
          </w:p>
          <w:p w14:paraId="1F39B1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2.投标（响应）报价低于通过符合性审查的次低报价供应商投标（响应）报价的50%，即投标（响应）报价&lt;次低报价供应商投标（响应）报价×50%；</w:t>
            </w:r>
          </w:p>
          <w:p w14:paraId="0414ED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3.投标（响应）报价低于采购项目最高限价的45%，即投标（响应）报价&lt;采购项目最高限价×45%；</w:t>
            </w:r>
          </w:p>
          <w:p w14:paraId="69812F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4.评标委员会基于专业判断，认为供应商报价明显过低，可能影响产品质量或无法诚信履约的其他情形。</w:t>
            </w:r>
          </w:p>
          <w:p w14:paraId="77B1E2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采购人可以结合具体项目实际情况，提高上述第1项至第3项中启动异常低价投标（响应）审查的数值标准，但是最高不得超过65%。相关法律法规对供应商报价有规定的，从其规定。</w:t>
            </w:r>
          </w:p>
          <w:p w14:paraId="10CE6B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zh-CN" w:eastAsia="zh-CN"/>
              </w:rPr>
            </w:pPr>
            <w:r>
              <w:rPr>
                <w:rFonts w:hint="default" w:ascii="Times New Roman" w:hAnsi="Times New Roman" w:eastAsia="仿宋" w:cs="Times New Roman"/>
                <w:color w:val="auto"/>
                <w:sz w:val="24"/>
                <w:szCs w:val="24"/>
                <w:lang w:val="zh-CN" w:eastAsia="zh-CN"/>
              </w:rPr>
              <w:t>二、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 ，包括但不限于原材料成本、人工成本、制造费用等，给予相关供应商的合理时间一般不少于30分钟。其中，属于第3项情形，供应商已随投标（响应）文件一并提交相关书面说明及必要的证明材料的 ，在评审现场可不再重复提交。</w:t>
            </w:r>
          </w:p>
          <w:p w14:paraId="6D5838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zh-CN" w:eastAsia="zh-CN"/>
              </w:rPr>
              <w:t>评标委员会依据专业经验，参考同类项目中标（成交）价格、类似产品市场价格水平、行业人工费用标准、国家有关部门指导行业协会发布的行业平均成本等情况，对报价合理性进行判断 。投标（响应）供应商不能提供书面说明、证明材料 ，或者提供的书面说明、证明材料不能证明其报价合理性的 ，评标委员会应当将其作为无效投标（响应）处理。</w:t>
            </w:r>
          </w:p>
        </w:tc>
      </w:tr>
    </w:tbl>
    <w:p w14:paraId="2A414BD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0000FF"/>
          <w:sz w:val="24"/>
          <w:szCs w:val="24"/>
          <w:lang w:eastAsia="zh-CN"/>
        </w:rPr>
      </w:pPr>
      <w:r>
        <w:rPr>
          <w:rFonts w:hint="eastAsia" w:ascii="仿宋" w:hAnsi="仿宋" w:eastAsia="仿宋" w:cs="仿宋"/>
          <w:color w:val="000000" w:themeColor="text1"/>
          <w:sz w:val="24"/>
          <w:szCs w:val="24"/>
          <w:lang w:val="en-US" w:eastAsia="zh-CN"/>
          <w14:textFill>
            <w14:solidFill>
              <w14:schemeClr w14:val="tx1"/>
            </w14:solidFill>
          </w14:textFill>
        </w:rPr>
        <w:t>备注：</w:t>
      </w:r>
      <w:r>
        <w:rPr>
          <w:rFonts w:hint="eastAsia" w:ascii="仿宋" w:hAnsi="仿宋" w:eastAsia="仿宋" w:cs="仿宋"/>
          <w:color w:val="000000" w:themeColor="text1"/>
          <w:sz w:val="24"/>
          <w:szCs w:val="24"/>
          <w:lang w:eastAsia="zh-CN"/>
          <w14:textFill>
            <w14:solidFill>
              <w14:schemeClr w14:val="tx1"/>
            </w14:solidFill>
          </w14:textFill>
        </w:rPr>
        <w:t xml:space="preserve">评审小组按上述评分标准逐项打分，各项得分之和为机构最终得分（保留小数点后两位）。 </w:t>
      </w:r>
      <w:r>
        <w:rPr>
          <w:rFonts w:hint="eastAsia" w:ascii="仿宋" w:hAnsi="仿宋" w:eastAsia="仿宋" w:cs="仿宋"/>
          <w:color w:val="0000FF"/>
          <w:sz w:val="24"/>
          <w:szCs w:val="24"/>
          <w:lang w:eastAsia="zh-CN"/>
        </w:rPr>
        <w:t xml:space="preserve"> </w:t>
      </w:r>
    </w:p>
    <w:p w14:paraId="52C609D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 w:cs="Times New Roman"/>
          <w:sz w:val="32"/>
          <w:szCs w:val="32"/>
        </w:rPr>
      </w:pPr>
    </w:p>
    <w:p w14:paraId="3340A60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872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2026-10-27T03:36:56Z</dcterms:created>
  <dc:creator>Administrator</dc:creator>
  <cp:lastModifiedBy>晨 小晨</cp:lastModifiedBy>
  <dcterms:modified xsi:type="dcterms:W3CDTF">2026-10-27T03:37:15Z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eyJoZGlkIjoiODEwNDQyNTdhMDY0ODcwOGNjZWEzNWY3M2U1N2NiZWQiLCJ1c2VySWQiOiI4NTMzODk3NzgifQ==</vt:lpwstr>
  </property>
  <property fmtid="{D5CDD505-2E9C-101B-9397-08002B2CF9AE}" pid="4" name="ICV">
    <vt:lpwstr>A8B57E37D32D4545ADDA693671C9AAA1_12</vt:lpwstr>
  </property>
</Properties>
</file>